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6742" w14:textId="3A896B18" w:rsidR="006D68CF" w:rsidRDefault="006D68CF" w:rsidP="001A5389">
      <w:pPr>
        <w:ind w:left="-284" w:right="-150"/>
        <w:jc w:val="both"/>
        <w:rPr>
          <w:rFonts w:cs="Times New Roman"/>
          <w:i/>
          <w:iCs/>
        </w:rPr>
      </w:pPr>
      <w:r>
        <w:rPr>
          <w:i/>
        </w:rPr>
        <w:t>Comunicado de prensa n.º 25/24</w:t>
      </w:r>
    </w:p>
    <w:p w14:paraId="1FFCEBD9" w14:textId="77777777" w:rsidR="006D68CF" w:rsidRPr="006D68CF" w:rsidRDefault="006D68CF" w:rsidP="001A5389">
      <w:pPr>
        <w:ind w:left="-284" w:right="-150"/>
        <w:jc w:val="both"/>
        <w:rPr>
          <w:rFonts w:cs="Times New Roman"/>
          <w:i/>
          <w:iCs/>
          <w:sz w:val="10"/>
          <w:szCs w:val="10"/>
          <w:lang w:val="it-IT"/>
        </w:rPr>
      </w:pPr>
    </w:p>
    <w:p w14:paraId="48395D96" w14:textId="5DEC1FDE" w:rsidR="006D68CF" w:rsidRPr="00E8404C" w:rsidRDefault="006D68CF" w:rsidP="001A5389">
      <w:pPr>
        <w:ind w:left="-284" w:right="-150"/>
        <w:jc w:val="both"/>
        <w:rPr>
          <w:b/>
          <w:bCs/>
          <w:sz w:val="28"/>
          <w:szCs w:val="28"/>
        </w:rPr>
      </w:pPr>
      <w:r>
        <w:rPr>
          <w:b/>
          <w:sz w:val="28"/>
        </w:rPr>
        <w:t xml:space="preserve">Máquinas agrícolas: </w:t>
      </w:r>
    </w:p>
    <w:p w14:paraId="5BC81CA8" w14:textId="77777777" w:rsidR="006D68CF" w:rsidRPr="00E8404C" w:rsidRDefault="006D68CF" w:rsidP="001A5389">
      <w:pPr>
        <w:ind w:left="-284" w:right="-150"/>
        <w:jc w:val="both"/>
        <w:rPr>
          <w:b/>
          <w:bCs/>
          <w:sz w:val="28"/>
          <w:szCs w:val="28"/>
        </w:rPr>
      </w:pPr>
      <w:r>
        <w:rPr>
          <w:b/>
          <w:sz w:val="28"/>
        </w:rPr>
        <w:t>los mercados emergentes del Sudeste Asiático y África</w:t>
      </w:r>
    </w:p>
    <w:p w14:paraId="270038B7" w14:textId="77777777" w:rsidR="006D68CF" w:rsidRPr="00E8404C" w:rsidRDefault="006D68CF" w:rsidP="001A5389">
      <w:pPr>
        <w:ind w:left="-284" w:right="-150"/>
        <w:jc w:val="both"/>
        <w:rPr>
          <w:rFonts w:cs="Times New Roman"/>
          <w:b/>
          <w:bCs/>
          <w:sz w:val="10"/>
          <w:szCs w:val="10"/>
          <w:lang w:val="it-IT"/>
        </w:rPr>
      </w:pPr>
    </w:p>
    <w:p w14:paraId="4E8C9C98" w14:textId="77777777" w:rsidR="006D68CF" w:rsidRPr="00E8404C" w:rsidRDefault="006D68CF" w:rsidP="001A5389">
      <w:pPr>
        <w:ind w:left="-284" w:right="-150"/>
        <w:jc w:val="both"/>
        <w:rPr>
          <w:b/>
          <w:bCs/>
          <w:i/>
          <w:iCs/>
        </w:rPr>
      </w:pPr>
      <w:r>
        <w:rPr>
          <w:b/>
          <w:i/>
        </w:rPr>
        <w:t>En los próximos años, Europa y América del Norte seguirán ocupando un lugar destacado en la geografía de los mercados, pero tendrán un papel cada vez más importantes países como Indonesia, Vietnam, Filipinas y Tailandia, que ya están registrando crecimientos en las importaciones de maquinaria específica. El aumento demográfico –que explica esta creciente demanda de tecnologías para la agricultura- será decisivo también en África, empezando por Nigeria, Etiopía y la República Democrática del Congo.</w:t>
      </w:r>
    </w:p>
    <w:p w14:paraId="03606470" w14:textId="77777777" w:rsidR="006D68CF" w:rsidRPr="00E8404C" w:rsidRDefault="006D68CF" w:rsidP="001A5389">
      <w:pPr>
        <w:ind w:left="-284" w:right="-150"/>
        <w:jc w:val="both"/>
        <w:rPr>
          <w:rFonts w:cs="Times New Roman"/>
          <w:b/>
          <w:bCs/>
          <w:i/>
          <w:iCs/>
          <w:sz w:val="10"/>
          <w:szCs w:val="10"/>
          <w:lang w:val="it-IT"/>
        </w:rPr>
      </w:pPr>
    </w:p>
    <w:p w14:paraId="23F9E1C6" w14:textId="77777777" w:rsidR="006D68CF" w:rsidRPr="00E8404C" w:rsidRDefault="006D68CF" w:rsidP="001A5389">
      <w:pPr>
        <w:ind w:left="-284" w:right="-150"/>
        <w:jc w:val="both"/>
        <w:rPr>
          <w:rFonts w:cs="Times New Roman"/>
          <w:sz w:val="23"/>
          <w:szCs w:val="23"/>
        </w:rPr>
      </w:pPr>
      <w:r>
        <w:rPr>
          <w:sz w:val="23"/>
        </w:rPr>
        <w:t>El sector de las máquinas agrícolas está destinado a crecer de manera significativa en los próximos años, pero cambiará la geografía de los mercados. Los grandes mercados de Europa y América del Norte mantendrán un alto nivel de inversiones para garantizar estándares de calidad elevados, los dos gigantes asiáticos, India y China, tenderán a estabilizar la mecanización en las grandes cantidades alcanzadas en los últimos años y los mercados emergentes serán los del Sudeste Asiático y África. Este es el panorama descrito esta tarde en Bolonia en la rueda de prensa de presentación de EIMA International, el salón mundial de la mecánica agrícola, que se celebrará en el recinto ferial de la ciudad desde mañana 6 de noviembre hasta el domingo 10.</w:t>
      </w:r>
    </w:p>
    <w:p w14:paraId="44572E8A" w14:textId="77777777" w:rsidR="006D68CF" w:rsidRPr="00E8404C" w:rsidRDefault="006D68CF" w:rsidP="001A5389">
      <w:pPr>
        <w:ind w:left="-284" w:right="-150"/>
        <w:jc w:val="both"/>
        <w:rPr>
          <w:rFonts w:cs="Times New Roman"/>
          <w:sz w:val="23"/>
          <w:szCs w:val="23"/>
        </w:rPr>
      </w:pPr>
      <w:r>
        <w:rPr>
          <w:sz w:val="23"/>
        </w:rPr>
        <w:t xml:space="preserve">La demanda de máquinas agrícolas está destinada a crecer de manera significativa –ha explicado la presidenta de FederUnacoma, Mariateresa Maschio, durante la rueda de prensa– en aquellas regiones del mundo en las que se registra un fuerte desarrollo de la agricultura debido al crecimiento demográfico y en las que, por lo tanto, se necesitarán más equipos tecnológicos que los disponibles actualmente.  </w:t>
      </w:r>
    </w:p>
    <w:p w14:paraId="5FA13428" w14:textId="4D9305F7" w:rsidR="006D68CF" w:rsidRPr="00E8404C" w:rsidRDefault="006D68CF" w:rsidP="001A5389">
      <w:pPr>
        <w:ind w:left="-284" w:right="-150"/>
        <w:jc w:val="both"/>
        <w:rPr>
          <w:rFonts w:cs="Times New Roman"/>
          <w:sz w:val="23"/>
          <w:szCs w:val="23"/>
        </w:rPr>
      </w:pPr>
      <w:r>
        <w:rPr>
          <w:sz w:val="23"/>
        </w:rPr>
        <w:t>Un país clave –se ha explicado durante la rueda de prensa– es Indonesia que</w:t>
      </w:r>
      <w:r w:rsidR="000D3F24">
        <w:rPr>
          <w:sz w:val="23"/>
        </w:rPr>
        <w:t>,</w:t>
      </w:r>
      <w:r>
        <w:rPr>
          <w:sz w:val="23"/>
        </w:rPr>
        <w:t xml:space="preserve"> hoy</w:t>
      </w:r>
      <w:r w:rsidR="000D3F24">
        <w:rPr>
          <w:sz w:val="23"/>
        </w:rPr>
        <w:t>,</w:t>
      </w:r>
      <w:r>
        <w:rPr>
          <w:sz w:val="23"/>
        </w:rPr>
        <w:t xml:space="preserve"> </w:t>
      </w:r>
      <w:r w:rsidR="000D3F24">
        <w:rPr>
          <w:sz w:val="23"/>
        </w:rPr>
        <w:t xml:space="preserve">con sus </w:t>
      </w:r>
      <w:r>
        <w:rPr>
          <w:sz w:val="23"/>
        </w:rPr>
        <w:t>casi 300 millones de habitantes</w:t>
      </w:r>
      <w:r w:rsidR="000D3F24">
        <w:rPr>
          <w:sz w:val="23"/>
        </w:rPr>
        <w:t xml:space="preserve"> es</w:t>
      </w:r>
      <w:r>
        <w:rPr>
          <w:sz w:val="23"/>
        </w:rPr>
        <w:t xml:space="preserve"> uno de los países más poblados del mundo y cuyo peso demográfico aumentará todavía más en los próximos años. En Indonesia, las importaciones de máquinas agrícolas están creciendo de manera constante desde hace 15 años y han pasado de un valor de 140 millones de euros en 2009 a un valor de casi 700 millones en 2023 (un crecimiento promedio anual del 8,6 %), previendo un nuevo aumento del 6,7 % anual en el próximo cuatrienio (2024-2027).</w:t>
      </w:r>
    </w:p>
    <w:p w14:paraId="465ABC12" w14:textId="0FA6FA4D" w:rsidR="006D68CF" w:rsidRPr="00E8404C" w:rsidRDefault="006D68CF" w:rsidP="001A5389">
      <w:pPr>
        <w:ind w:left="-284" w:right="-150"/>
        <w:jc w:val="both"/>
        <w:rPr>
          <w:rFonts w:cs="Times New Roman"/>
          <w:b/>
          <w:bCs/>
          <w:i/>
          <w:iCs/>
          <w:sz w:val="23"/>
          <w:szCs w:val="23"/>
        </w:rPr>
      </w:pPr>
      <w:r>
        <w:rPr>
          <w:sz w:val="23"/>
        </w:rPr>
        <w:t xml:space="preserve">Pero también están creciendo las importaciones de máquinas agrícolas en otros países muy poblados del Sudeste Asiático. Así, en los próximos cuatro años, es decir, de 2024 a 2027, se prevé que en Vietnam (100 millones de habitantes) las importaciones aumenten un 6,2 % anual; en las Filipinas (110 millones de habitantes), un 7,8 % y en Tailandia (71 millones de habitantes), después de un crecimiento muy lento en los últimos quince años de </w:t>
      </w:r>
      <w:r w:rsidR="000D3F24">
        <w:rPr>
          <w:sz w:val="23"/>
        </w:rPr>
        <w:t xml:space="preserve">tan </w:t>
      </w:r>
      <w:r>
        <w:rPr>
          <w:sz w:val="23"/>
        </w:rPr>
        <w:t>solo un 1 % de promedio anual</w:t>
      </w:r>
      <w:bookmarkStart w:id="0" w:name="_GoBack"/>
      <w:bookmarkEnd w:id="0"/>
      <w:r>
        <w:rPr>
          <w:sz w:val="23"/>
        </w:rPr>
        <w:t xml:space="preserve">, se espera un aumento anual del 6,8 %. </w:t>
      </w:r>
    </w:p>
    <w:p w14:paraId="21EDDAB4" w14:textId="4863F20C" w:rsidR="001A5389" w:rsidRDefault="006D68CF" w:rsidP="001A5389">
      <w:pPr>
        <w:ind w:left="-284" w:right="-150"/>
        <w:jc w:val="both"/>
        <w:rPr>
          <w:sz w:val="23"/>
        </w:rPr>
      </w:pPr>
      <w:r>
        <w:rPr>
          <w:sz w:val="23"/>
        </w:rPr>
        <w:t xml:space="preserve">La variable demográfica todavía </w:t>
      </w:r>
      <w:r w:rsidR="001A5389">
        <w:rPr>
          <w:sz w:val="23"/>
        </w:rPr>
        <w:t xml:space="preserve">tendrá </w:t>
      </w:r>
      <w:r>
        <w:rPr>
          <w:sz w:val="23"/>
        </w:rPr>
        <w:t>más influencia en el continente africano si se cumple la predicción de que, en 2050, el 50 % del crecimiento demográfico mundial</w:t>
      </w:r>
      <w:r w:rsidR="001A5389">
        <w:rPr>
          <w:sz w:val="23"/>
        </w:rPr>
        <w:t xml:space="preserve"> </w:t>
      </w:r>
      <w:r>
        <w:rPr>
          <w:sz w:val="23"/>
        </w:rPr>
        <w:t xml:space="preserve">tendrá lugar en </w:t>
      </w:r>
      <w:r w:rsidR="001A5389">
        <w:rPr>
          <w:sz w:val="23"/>
        </w:rPr>
        <w:t xml:space="preserve">el </w:t>
      </w:r>
      <w:r>
        <w:rPr>
          <w:sz w:val="23"/>
        </w:rPr>
        <w:t>África subsahariana. En el continente africano destaca Nigeria, que hoy cuenta con 230 millones de habitantes y que en 2050 superará los 400 millones (lo que lo convertirá en el tercer país más poblado del mundo), seguida de Etiopía y de la República Democrática del Congo, ambos claramente con más de 100 millones de habitantes y destinados a un crecimiento espectacular en los próximos veinte años, por lo que entrarán en la lista de los 10 países más poblados del planeta.</w:t>
      </w:r>
    </w:p>
    <w:p w14:paraId="59DBC762" w14:textId="77777777" w:rsidR="001A5389" w:rsidRDefault="001A5389">
      <w:pPr>
        <w:rPr>
          <w:sz w:val="23"/>
        </w:rPr>
      </w:pPr>
      <w:r>
        <w:rPr>
          <w:sz w:val="23"/>
        </w:rPr>
        <w:br w:type="page"/>
      </w:r>
    </w:p>
    <w:p w14:paraId="55D4C63A" w14:textId="77777777" w:rsidR="006D68CF" w:rsidRPr="00E8404C" w:rsidRDefault="006D68CF" w:rsidP="001A5389">
      <w:pPr>
        <w:ind w:left="-284" w:right="-150"/>
        <w:jc w:val="both"/>
        <w:rPr>
          <w:rFonts w:cs="Times New Roman"/>
          <w:sz w:val="23"/>
          <w:szCs w:val="23"/>
        </w:rPr>
      </w:pPr>
    </w:p>
    <w:p w14:paraId="3CEBEEE7" w14:textId="77777777" w:rsidR="006D68CF" w:rsidRDefault="006D68CF" w:rsidP="001A5389">
      <w:pPr>
        <w:ind w:left="-284" w:right="-150"/>
        <w:jc w:val="both"/>
        <w:rPr>
          <w:rFonts w:cs="Times New Roman"/>
          <w:sz w:val="23"/>
          <w:szCs w:val="23"/>
        </w:rPr>
      </w:pPr>
      <w:r>
        <w:rPr>
          <w:sz w:val="23"/>
        </w:rPr>
        <w:t>En Nigeria, hoy apenas se utiliza el 46 % de la tierra cultivable –se ha dicho durante la rueda de prensa– mientras que en la República Democrática del Congo actualmente solo se destina a la agricultura el 10 % de la tierra cultivable. Por ello, es prioritario dedicar nuevos terrenos a la agricultura, no solo en estos países, sino también en otros del continente africano y esto implicará un aumento de la demanda de tecnologías en el futuro inmediato (de aquí a 2027 la importación de máquinas agrícolas crecerá un 7 % anual en Etiopía y un 12 % en el Congo), pero aún más durante los próximos veinte años.</w:t>
      </w:r>
    </w:p>
    <w:p w14:paraId="4238E0A5" w14:textId="77777777" w:rsidR="006D68CF" w:rsidRPr="00E8404C" w:rsidRDefault="006D68CF" w:rsidP="001A5389">
      <w:pPr>
        <w:ind w:left="-284" w:right="-150"/>
        <w:jc w:val="both"/>
        <w:rPr>
          <w:sz w:val="23"/>
          <w:szCs w:val="23"/>
          <w:lang w:val="it-IT"/>
        </w:rPr>
      </w:pPr>
    </w:p>
    <w:p w14:paraId="1B0EF3C8" w14:textId="77777777" w:rsidR="006D68CF" w:rsidRPr="00FD003F" w:rsidRDefault="006D68CF" w:rsidP="001A5389">
      <w:pPr>
        <w:ind w:left="-284" w:right="-150"/>
        <w:jc w:val="both"/>
        <w:rPr>
          <w:rFonts w:cs="Times New Roman"/>
          <w:b/>
          <w:bCs/>
          <w:i/>
          <w:iCs/>
          <w:sz w:val="23"/>
          <w:szCs w:val="23"/>
        </w:rPr>
      </w:pPr>
      <w:r>
        <w:rPr>
          <w:b/>
          <w:i/>
          <w:sz w:val="23"/>
        </w:rPr>
        <w:t>Bolonia, 5 de noviembre de 2024</w:t>
      </w:r>
    </w:p>
    <w:p w14:paraId="763B532A" w14:textId="2FA7B36E" w:rsidR="00E95EA3" w:rsidRPr="00E95EA3" w:rsidRDefault="00E95EA3" w:rsidP="001A5389">
      <w:pPr>
        <w:ind w:right="-150"/>
        <w:jc w:val="both"/>
        <w:rPr>
          <w:rFonts w:eastAsia="Calibri" w:cs="Times New Roman"/>
          <w:b/>
          <w:bCs/>
          <w:lang w:val="it-IT" w:eastAsia="en-US"/>
        </w:rPr>
      </w:pPr>
    </w:p>
    <w:sectPr w:rsidR="00E95EA3" w:rsidRPr="00E95EA3"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CC8F5" w14:textId="77777777" w:rsidR="002655C1" w:rsidRDefault="002655C1">
      <w:r>
        <w:separator/>
      </w:r>
    </w:p>
  </w:endnote>
  <w:endnote w:type="continuationSeparator" w:id="0">
    <w:p w14:paraId="727CF923" w14:textId="77777777" w:rsidR="002655C1" w:rsidRDefault="0026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6899D" w14:textId="77777777" w:rsidR="002655C1" w:rsidRDefault="002655C1">
      <w:r>
        <w:separator/>
      </w:r>
    </w:p>
  </w:footnote>
  <w:footnote w:type="continuationSeparator" w:id="0">
    <w:p w14:paraId="5F6C8216" w14:textId="77777777" w:rsidR="002655C1" w:rsidRDefault="00265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2C9E213D" w:rsidR="005B51B0" w:rsidRDefault="005B51B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D3F24">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D3F24">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3F2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5389"/>
    <w:rsid w:val="001B7564"/>
    <w:rsid w:val="001E6873"/>
    <w:rsid w:val="00212768"/>
    <w:rsid w:val="0022432E"/>
    <w:rsid w:val="00225312"/>
    <w:rsid w:val="002415A7"/>
    <w:rsid w:val="002434A4"/>
    <w:rsid w:val="00250215"/>
    <w:rsid w:val="00256769"/>
    <w:rsid w:val="002633C4"/>
    <w:rsid w:val="002655C1"/>
    <w:rsid w:val="00265E2B"/>
    <w:rsid w:val="002727C9"/>
    <w:rsid w:val="002A081C"/>
    <w:rsid w:val="002B0B49"/>
    <w:rsid w:val="002D274C"/>
    <w:rsid w:val="002F353D"/>
    <w:rsid w:val="003076AD"/>
    <w:rsid w:val="003241F7"/>
    <w:rsid w:val="00330ADB"/>
    <w:rsid w:val="00334379"/>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81D2A"/>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0652"/>
    <w:rsid w:val="00643058"/>
    <w:rsid w:val="006601E7"/>
    <w:rsid w:val="00661945"/>
    <w:rsid w:val="006729A9"/>
    <w:rsid w:val="00677CC8"/>
    <w:rsid w:val="006810E8"/>
    <w:rsid w:val="00682974"/>
    <w:rsid w:val="00687D18"/>
    <w:rsid w:val="00690F03"/>
    <w:rsid w:val="006C0D12"/>
    <w:rsid w:val="006C3036"/>
    <w:rsid w:val="006C3D70"/>
    <w:rsid w:val="006C65AF"/>
    <w:rsid w:val="006D68C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029A4"/>
    <w:rsid w:val="00922337"/>
    <w:rsid w:val="009234B5"/>
    <w:rsid w:val="00924547"/>
    <w:rsid w:val="0093426C"/>
    <w:rsid w:val="0093775C"/>
    <w:rsid w:val="0097010F"/>
    <w:rsid w:val="00970BE4"/>
    <w:rsid w:val="00971E4E"/>
    <w:rsid w:val="009913A8"/>
    <w:rsid w:val="009A1C8E"/>
    <w:rsid w:val="009C0F34"/>
    <w:rsid w:val="009C2022"/>
    <w:rsid w:val="009D0994"/>
    <w:rsid w:val="009F23FD"/>
    <w:rsid w:val="00A00A57"/>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2DA1"/>
    <w:rsid w:val="00D6602B"/>
    <w:rsid w:val="00D722A1"/>
    <w:rsid w:val="00DA5860"/>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53575"/>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rafodelista">
    <w:name w:val="List Paragraph"/>
    <w:basedOn w:val="Normal"/>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6210D-60D6-4A11-9B26-05EF1947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3518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2020-11-02T16:06:00Z</cp:lastPrinted>
  <dcterms:created xsi:type="dcterms:W3CDTF">2024-11-05T09:35:00Z</dcterms:created>
  <dcterms:modified xsi:type="dcterms:W3CDTF">2024-11-05T09:37:00Z</dcterms:modified>
</cp:coreProperties>
</file>